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t>ПАСПОРТ</w:t>
      </w:r>
    </w:p>
    <w:p w14:paraId="02000000">
      <w:pPr>
        <w:spacing w:line="240" w:lineRule="exact"/>
        <w:ind/>
        <w:jc w:val="center"/>
        <w:rPr>
          <w:sz w:val="28"/>
        </w:rPr>
      </w:pPr>
      <w:r>
        <w:rPr>
          <w:sz w:val="28"/>
        </w:rPr>
        <w:t xml:space="preserve">проекта </w:t>
      </w:r>
      <w:r>
        <w:rPr>
          <w:sz w:val="28"/>
        </w:rPr>
        <w:t>постановления администрации города Невинномысска</w:t>
      </w:r>
      <w:r>
        <w:rPr>
          <w:sz w:val="28"/>
        </w:rPr>
        <w:t xml:space="preserve"> «</w:t>
      </w:r>
      <w:r>
        <w:rPr>
          <w:rFonts w:ascii="Times New Roman" w:hAnsi="Times New Roman"/>
          <w:sz w:val="28"/>
        </w:rPr>
        <w:t>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p w14:paraId="03000000"/>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779"/>
        <w:gridCol w:w="6576"/>
      </w:tblGrid>
      <w:tr>
        <w:tc>
          <w:tcPr>
            <w:tcW w:type="dxa" w:w="2779"/>
            <w:tcBorders>
              <w:top w:color="000000" w:sz="4" w:val="single"/>
              <w:left w:color="000000" w:sz="4" w:val="single"/>
              <w:bottom w:color="000000" w:sz="4" w:val="single"/>
              <w:right w:color="000000" w:sz="4" w:val="single"/>
            </w:tcBorders>
            <w:shd w:fill="auto" w:val="clear"/>
          </w:tcPr>
          <w:p w14:paraId="04000000">
            <w:r>
              <w:t>Наименование проекта документа</w:t>
            </w:r>
          </w:p>
        </w:tc>
        <w:tc>
          <w:tcPr>
            <w:tcW w:type="dxa" w:w="6576"/>
            <w:tcBorders>
              <w:top w:color="000000" w:sz="4" w:val="single"/>
              <w:left w:color="000000" w:sz="4" w:val="single"/>
              <w:bottom w:color="000000" w:sz="4" w:val="single"/>
              <w:right w:color="000000" w:sz="4" w:val="single"/>
            </w:tcBorders>
            <w:shd w:fill="auto" w:val="clear"/>
          </w:tcPr>
          <w:p w14:paraId="05000000">
            <w:pPr>
              <w:pStyle w:val="Style_2"/>
              <w:ind/>
              <w:jc w:val="both"/>
            </w:pPr>
            <w:r>
              <w:rPr>
                <w:rStyle w:val="Style_2_ch"/>
              </w:rPr>
              <w:t>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tc>
          <w:tcPr>
            <w:tcW w:type="dxa" w:w="2779"/>
            <w:tcBorders>
              <w:top w:color="000000" w:sz="4" w:val="single"/>
              <w:left w:color="000000" w:sz="4" w:val="single"/>
              <w:bottom w:color="000000" w:sz="4" w:val="single"/>
              <w:right w:color="000000" w:sz="4" w:val="single"/>
            </w:tcBorders>
            <w:shd w:fill="auto" w:val="clear"/>
          </w:tcPr>
          <w:p w14:paraId="06000000">
            <w:r>
              <w:t>Вид документа</w:t>
            </w:r>
          </w:p>
        </w:tc>
        <w:tc>
          <w:tcPr>
            <w:tcW w:type="dxa" w:w="6576"/>
            <w:tcBorders>
              <w:top w:color="000000" w:sz="4" w:val="single"/>
              <w:left w:color="000000" w:sz="4" w:val="single"/>
              <w:bottom w:color="000000" w:sz="4" w:val="single"/>
              <w:right w:color="000000" w:sz="4" w:val="single"/>
            </w:tcBorders>
            <w:shd w:fill="auto" w:val="clear"/>
          </w:tcPr>
          <w:p w14:paraId="07000000">
            <w:pPr>
              <w:pStyle w:val="Style_2"/>
              <w:ind/>
              <w:jc w:val="both"/>
            </w:pPr>
            <w:r>
              <w:rPr>
                <w:rStyle w:val="Style_2_ch"/>
              </w:rPr>
              <w:t>постановление администрации города Невинномысска</w:t>
            </w:r>
          </w:p>
        </w:tc>
      </w:tr>
      <w:tr>
        <w:tc>
          <w:tcPr>
            <w:tcW w:type="dxa" w:w="2779"/>
            <w:tcBorders>
              <w:top w:color="000000" w:sz="4" w:val="single"/>
              <w:left w:color="000000" w:sz="4" w:val="single"/>
              <w:bottom w:color="000000" w:sz="4" w:val="single"/>
              <w:right w:color="000000" w:sz="4" w:val="single"/>
            </w:tcBorders>
            <w:shd w:fill="auto" w:val="clear"/>
          </w:tcPr>
          <w:p w14:paraId="08000000">
            <w:r>
              <w:t>Разработчик</w:t>
            </w:r>
          </w:p>
        </w:tc>
        <w:tc>
          <w:tcPr>
            <w:tcW w:type="dxa" w:w="6576"/>
            <w:tcBorders>
              <w:top w:color="000000" w:sz="4" w:val="single"/>
              <w:left w:color="000000" w:sz="4" w:val="single"/>
              <w:bottom w:color="000000" w:sz="4" w:val="single"/>
              <w:right w:color="000000" w:sz="4" w:val="single"/>
            </w:tcBorders>
            <w:shd w:fill="auto" w:val="clear"/>
          </w:tcPr>
          <w:p w14:paraId="09000000">
            <w:r>
              <w:t>Администрация города Невинномысска</w:t>
            </w:r>
          </w:p>
        </w:tc>
      </w:tr>
      <w:tr>
        <w:tc>
          <w:tcPr>
            <w:tcW w:type="dxa" w:w="2779"/>
            <w:tcBorders>
              <w:top w:color="000000" w:sz="4" w:val="single"/>
              <w:left w:color="000000" w:sz="4" w:val="single"/>
              <w:bottom w:color="000000" w:sz="4" w:val="single"/>
              <w:right w:color="000000" w:sz="4" w:val="single"/>
            </w:tcBorders>
            <w:shd w:fill="auto" w:val="clear"/>
          </w:tcPr>
          <w:p w14:paraId="0A000000">
            <w:r>
              <w:t xml:space="preserve">Контакты </w:t>
            </w:r>
            <w:r>
              <w:t>ответственного лица</w:t>
            </w:r>
          </w:p>
        </w:tc>
        <w:tc>
          <w:tcPr>
            <w:tcW w:type="dxa" w:w="6576"/>
            <w:tcBorders>
              <w:top w:color="000000" w:sz="4" w:val="single"/>
              <w:left w:color="000000" w:sz="4" w:val="single"/>
              <w:bottom w:color="000000" w:sz="4" w:val="single"/>
              <w:right w:color="000000" w:sz="4" w:val="single"/>
            </w:tcBorders>
            <w:shd w:fill="auto" w:val="clear"/>
          </w:tcPr>
          <w:p w14:paraId="0B000000">
            <w:r>
              <w:t>Дзыба Юлия Владимировна</w:t>
            </w:r>
            <w:r>
              <w:t xml:space="preserve">, </w:t>
            </w:r>
          </w:p>
          <w:p w14:paraId="0C000000">
            <w:r>
              <w:t>г. Невинномысск, ул</w:t>
            </w:r>
            <w:r>
              <w:t xml:space="preserve">. </w:t>
            </w:r>
            <w:r>
              <w:t>Гагарина</w:t>
            </w:r>
            <w:r>
              <w:t xml:space="preserve">, д. </w:t>
            </w:r>
            <w:r>
              <w:t>59</w:t>
            </w:r>
            <w:r>
              <w:t xml:space="preserve">, тел. </w:t>
            </w:r>
            <w:r>
              <w:t>2-10-80</w:t>
            </w:r>
            <w:r>
              <w:t xml:space="preserve"> (1</w:t>
            </w:r>
            <w:r>
              <w:t>21</w:t>
            </w:r>
            <w:r>
              <w:t>)</w:t>
            </w:r>
            <w:r>
              <w:t>,</w:t>
            </w:r>
            <w:r>
              <w:t xml:space="preserve"> </w:t>
            </w:r>
            <w:r>
              <w:t>uv</w:t>
            </w:r>
            <w:r>
              <w:t>@</w:t>
            </w:r>
            <w:r>
              <w:t>nevadm</w:t>
            </w:r>
            <w:r>
              <w:t>.</w:t>
            </w:r>
            <w:r>
              <w:t>ru</w:t>
            </w:r>
          </w:p>
        </w:tc>
      </w:tr>
      <w:tr>
        <w:tc>
          <w:tcPr>
            <w:tcW w:type="dxa" w:w="2779"/>
            <w:tcBorders>
              <w:top w:color="000000" w:sz="4" w:val="single"/>
              <w:left w:color="000000" w:sz="4" w:val="single"/>
              <w:bottom w:color="000000" w:sz="4" w:val="single"/>
              <w:right w:color="000000" w:sz="4" w:val="single"/>
            </w:tcBorders>
            <w:shd w:fill="auto" w:val="clear"/>
          </w:tcPr>
          <w:p w14:paraId="0D000000">
            <w:r>
              <w:t>Период общественного обсуждения</w:t>
            </w:r>
            <w:r>
              <w:t xml:space="preserve"> </w:t>
            </w:r>
          </w:p>
        </w:tc>
        <w:tc>
          <w:tcPr>
            <w:tcW w:type="dxa" w:w="6576"/>
            <w:tcBorders>
              <w:top w:color="000000" w:sz="4" w:val="single"/>
              <w:left w:color="000000" w:sz="4" w:val="single"/>
              <w:bottom w:color="000000" w:sz="4" w:val="single"/>
              <w:right w:color="000000" w:sz="4" w:val="single"/>
            </w:tcBorders>
            <w:shd w:fill="auto" w:val="clear"/>
          </w:tcPr>
          <w:p w14:paraId="0E000000">
            <w:r>
              <w:t>07.02</w:t>
            </w:r>
            <w:r>
              <w:t>-23</w:t>
            </w:r>
            <w:r>
              <w:t>.02</w:t>
            </w:r>
            <w:r>
              <w:t>.2023</w:t>
            </w:r>
          </w:p>
        </w:tc>
      </w:tr>
      <w:tr>
        <w:tc>
          <w:tcPr>
            <w:tcW w:type="dxa" w:w="2779"/>
            <w:tcBorders>
              <w:top w:color="000000" w:sz="4" w:val="single"/>
              <w:left w:color="000000" w:sz="4" w:val="single"/>
              <w:bottom w:color="000000" w:sz="4" w:val="single"/>
              <w:right w:color="000000" w:sz="4" w:val="single"/>
            </w:tcBorders>
            <w:shd w:fill="auto" w:val="clear"/>
          </w:tcPr>
          <w:p w14:paraId="0F000000">
            <w:r>
              <w:t>Пояснения к проекту</w:t>
            </w:r>
          </w:p>
        </w:tc>
        <w:tc>
          <w:tcPr>
            <w:tcW w:type="dxa" w:w="6576"/>
            <w:tcBorders>
              <w:top w:color="000000" w:sz="4" w:val="single"/>
              <w:left w:color="000000" w:sz="4" w:val="single"/>
              <w:bottom w:color="000000" w:sz="4" w:val="single"/>
              <w:right w:color="000000" w:sz="4" w:val="single"/>
            </w:tcBorders>
            <w:shd w:fill="auto" w:val="clear"/>
          </w:tcPr>
          <w:p w14:paraId="10000000">
            <w:pPr>
              <w:ind/>
              <w:jc w:val="both"/>
            </w:pPr>
            <w:r>
              <w:rPr>
                <w:rStyle w:val="Style_2_ch"/>
              </w:rPr>
              <w:t>Настоящи</w:t>
            </w:r>
            <w:r>
              <w:rPr>
                <w:rStyle w:val="Style_2_ch"/>
              </w:rPr>
              <w:t>й</w:t>
            </w:r>
            <w:r>
              <w:rPr>
                <w:rStyle w:val="Style_2_ch"/>
              </w:rPr>
              <w:t xml:space="preserve"> проект подготовлен</w:t>
            </w:r>
            <w:r>
              <w:rPr>
                <w:rStyle w:val="Style_2_ch"/>
              </w:rPr>
              <w:t xml:space="preserve"> </w:t>
            </w:r>
            <w:r>
              <w:rPr>
                <w:rStyle w:val="Style_2_ch"/>
              </w:rPr>
              <w:t>в соответствии</w:t>
            </w:r>
            <w:r>
              <w:rPr>
                <w:rStyle w:val="Style_2_ch"/>
              </w:rPr>
              <w:t xml:space="preserve"> с </w:t>
            </w:r>
            <w:r>
              <w:rPr>
                <w:rStyle w:val="Style_2_ch"/>
              </w:rPr>
              <w:fldChar w:fldCharType="begin"/>
            </w:r>
            <w:r>
              <w:rPr>
                <w:rStyle w:val="Style_2_ch"/>
              </w:rPr>
              <w:instrText>HYPERLINK "https://login.consultant.ru/link/?req=doc&amp;base=LAW&amp;n=412707&amp;dst=103575"</w:instrText>
            </w:r>
            <w:r>
              <w:rPr>
                <w:rStyle w:val="Style_2_ch"/>
              </w:rPr>
              <w:fldChar w:fldCharType="separate"/>
            </w:r>
            <w:r>
              <w:rPr>
                <w:rStyle w:val="Style_2_ch"/>
              </w:rPr>
              <w:t>пунктом 2 статьи 78.1</w:t>
            </w:r>
            <w:r>
              <w:rPr>
                <w:rStyle w:val="Style_2_ch"/>
              </w:rPr>
              <w:fldChar w:fldCharType="end"/>
            </w:r>
            <w:r>
              <w:rPr>
                <w:rStyle w:val="Style_2_ch"/>
              </w:rPr>
              <w:t xml:space="preserve"> Бюджетного кодекса Российской Федерации, </w:t>
            </w:r>
            <w:r>
              <w:rPr>
                <w:rStyle w:val="Style_2_ch"/>
              </w:rPr>
              <w:fldChar w:fldCharType="begin"/>
            </w:r>
            <w:r>
              <w:rPr>
                <w:rStyle w:val="Style_2_ch"/>
              </w:rPr>
              <w:instrText>HYPERLINK "https://login.consultant.ru/link/?req=doc&amp;base=LAW&amp;n=413962"</w:instrText>
            </w:r>
            <w:r>
              <w:rPr>
                <w:rStyle w:val="Style_2_ch"/>
              </w:rPr>
              <w:fldChar w:fldCharType="separate"/>
            </w:r>
            <w:r>
              <w:rPr>
                <w:rStyle w:val="Style_2_ch"/>
              </w:rPr>
              <w:t>постановлением</w:t>
            </w:r>
            <w:r>
              <w:rPr>
                <w:rStyle w:val="Style_2_ch"/>
              </w:rPr>
              <w:fldChar w:fldCharType="end"/>
            </w:r>
            <w:r>
              <w:rPr>
                <w:rStyle w:val="Style_2_ch"/>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r>
              <w:rPr>
                <w:rStyle w:val="Style_2_ch"/>
              </w:rPr>
              <w:t xml:space="preserve"> отборов получателей указанных субсидий, в том числе грантов в форме субсидий», </w:t>
            </w:r>
            <w:r>
              <w:rPr>
                <w:rStyle w:val="Style_2_ch"/>
              </w:rPr>
              <w:fldChar w:fldCharType="begin"/>
            </w:r>
            <w:r>
              <w:rPr>
                <w:rStyle w:val="Style_2_ch"/>
              </w:rPr>
              <w:instrText>HYPERLINK "https://login.consultant.ru/link/?req=doc&amp;base=RLAW077&amp;n=187488&amp;dst=100016"</w:instrText>
            </w:r>
            <w:r>
              <w:rPr>
                <w:rStyle w:val="Style_2_ch"/>
              </w:rPr>
              <w:fldChar w:fldCharType="separate"/>
            </w:r>
            <w:r>
              <w:rPr>
                <w:rStyle w:val="Style_2_ch"/>
              </w:rPr>
              <w:t>Положением</w:t>
            </w:r>
            <w:r>
              <w:rPr>
                <w:rStyle w:val="Style_2_ch"/>
              </w:rPr>
              <w:fldChar w:fldCharType="end"/>
            </w:r>
            <w:r>
              <w:rPr>
                <w:rStyle w:val="Style_2_ch"/>
              </w:rPr>
              <w:t xml:space="preserve"> о бюджетном процессе в городе Невинномысске, утвержденным решением Думы города Невинномысска Ставропольского края от 28.02.2018 № 234-27</w:t>
            </w:r>
            <w:r>
              <w:rPr>
                <w:rStyle w:val="Style_2_ch"/>
              </w:rPr>
              <w:t xml:space="preserve">, </w:t>
            </w:r>
            <w:r>
              <w:rPr>
                <w:rStyle w:val="Style_2_ch"/>
              </w:rPr>
              <w:fldChar w:fldCharType="begin"/>
            </w:r>
            <w:r>
              <w:rPr>
                <w:rStyle w:val="Style_2_ch"/>
              </w:rPr>
              <w:instrText>HYPERLINK "https://login.consultant.ru/link/?req=doc&amp;base=RLAW077&amp;n=218865&amp;date=30.01.2025" \o "Постановление администрации г. Невинномысска Ставропольского края от 29.01.2024 N 59 "Об установлении в 2024 году расходного обязательства муниципального образования города Невинномысска Ставропольского края"{КонсультантПлюс}"</w:instrText>
            </w:r>
            <w:r>
              <w:rPr>
                <w:rStyle w:val="Style_2_ch"/>
              </w:rPr>
              <w:fldChar w:fldCharType="separate"/>
            </w:r>
            <w:r>
              <w:rPr>
                <w:rStyle w:val="Style_2_ch"/>
              </w:rPr>
              <w:t>постановлением</w:t>
            </w:r>
            <w:r>
              <w:rPr>
                <w:rStyle w:val="Style_2_ch"/>
              </w:rPr>
              <w:fldChar w:fldCharType="end"/>
            </w:r>
            <w:r>
              <w:rPr>
                <w:rStyle w:val="Style_2_ch"/>
              </w:rPr>
              <w:t xml:space="preserve"> администрации города Нев</w:t>
            </w:r>
            <w:r>
              <w:rPr>
                <w:rStyle w:val="Style_2_ch"/>
              </w:rPr>
              <w:t>инномысска от 24.01.2025 №</w:t>
            </w:r>
            <w:r>
              <w:rPr>
                <w:rStyle w:val="Style_2_ch"/>
              </w:rPr>
              <w:t xml:space="preserve"> 5</w:t>
            </w:r>
            <w:r>
              <w:rPr>
                <w:rStyle w:val="Style_2_ch"/>
              </w:rPr>
              <w:t>1</w:t>
            </w:r>
            <w:r>
              <w:rPr>
                <w:rStyle w:val="Style_2_ch"/>
              </w:rPr>
              <w:t xml:space="preserve"> </w:t>
            </w:r>
            <w:r>
              <w:rPr>
                <w:rStyle w:val="Style_2_ch"/>
              </w:rPr>
              <w:t>«</w:t>
            </w:r>
            <w:r>
              <w:rPr>
                <w:rStyle w:val="Style_2_ch"/>
              </w:rPr>
              <w:t>Об установлении в 202</w:t>
            </w:r>
            <w:r>
              <w:rPr>
                <w:rStyle w:val="Style_2_ch"/>
              </w:rPr>
              <w:t>5</w:t>
            </w:r>
            <w:r>
              <w:rPr>
                <w:rStyle w:val="Style_2_ch"/>
              </w:rPr>
              <w:t xml:space="preserve"> году расходного обязательства муниципального образования города Невинномысска Ставропольского края</w:t>
            </w:r>
            <w:r>
              <w:rPr>
                <w:rStyle w:val="Style_2_ch"/>
              </w:rPr>
              <w:t>»</w:t>
            </w:r>
          </w:p>
        </w:tc>
      </w:tr>
    </w:tbl>
    <w:p w14:paraId="11000000"/>
    <w:p w14:paraId="12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Знак1 Char"/>
    <w:basedOn w:val="Style_2"/>
    <w:link w:val="Style_7_ch"/>
    <w:pPr>
      <w:spacing w:after="160" w:line="240" w:lineRule="exact"/>
      <w:ind/>
    </w:pPr>
    <w:rPr>
      <w:rFonts w:ascii="Verdana" w:hAnsi="Verdana"/>
      <w:sz w:val="20"/>
    </w:rPr>
  </w:style>
  <w:style w:styleId="Style_7_ch" w:type="character">
    <w:name w:val="Знак1 Char"/>
    <w:basedOn w:val="Style_2_ch"/>
    <w:link w:val="Style_7"/>
    <w:rPr>
      <w:rFonts w:ascii="Verdana" w:hAnsi="Verdana"/>
      <w:sz w:val="20"/>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Balloon Text"/>
    <w:basedOn w:val="Style_2"/>
    <w:link w:val="Style_14_ch"/>
    <w:rPr>
      <w:rFonts w:ascii="Tahoma" w:hAnsi="Tahoma"/>
      <w:sz w:val="16"/>
    </w:rPr>
  </w:style>
  <w:style w:styleId="Style_14_ch" w:type="character">
    <w:name w:val="Balloon Text"/>
    <w:basedOn w:val="Style_2_ch"/>
    <w:link w:val="Style_14"/>
    <w:rPr>
      <w:rFonts w:ascii="Tahoma" w:hAnsi="Tahoma"/>
      <w:sz w:val="16"/>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Body Text Indent"/>
    <w:basedOn w:val="Style_2"/>
    <w:link w:val="Style_20_ch"/>
    <w:pPr>
      <w:ind w:firstLine="720" w:left="0"/>
      <w:jc w:val="both"/>
    </w:pPr>
    <w:rPr>
      <w:spacing w:val="-4"/>
      <w:sz w:val="28"/>
    </w:rPr>
  </w:style>
  <w:style w:styleId="Style_20_ch" w:type="character">
    <w:name w:val="Body Text Indent"/>
    <w:basedOn w:val="Style_2_ch"/>
    <w:link w:val="Style_20"/>
    <w:rPr>
      <w:spacing w:val="-4"/>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2025-02-06T13:02:56Z</dcterms:modified>
</cp:coreProperties>
</file>